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空气能节能改造项目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default" w:ascii="宋体" w:hAnsi="宋体" w:cs="宋体"/>
          <w:sz w:val="28"/>
          <w:szCs w:val="28"/>
          <w:lang w:val="en-US" w:eastAsia="zh-CN"/>
        </w:rPr>
        <w:t>空气能节能改造项目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6F82C62"/>
    <w:rsid w:val="0AAE3966"/>
    <w:rsid w:val="0B633E57"/>
    <w:rsid w:val="10FE55BF"/>
    <w:rsid w:val="120C7C36"/>
    <w:rsid w:val="14157009"/>
    <w:rsid w:val="174B2E61"/>
    <w:rsid w:val="20EE352D"/>
    <w:rsid w:val="22477BB3"/>
    <w:rsid w:val="227D154F"/>
    <w:rsid w:val="24D56343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2E93E65"/>
    <w:rsid w:val="4E8C65FA"/>
    <w:rsid w:val="50635FF7"/>
    <w:rsid w:val="512E2D95"/>
    <w:rsid w:val="56DC71A4"/>
    <w:rsid w:val="578C1D94"/>
    <w:rsid w:val="5CB66160"/>
    <w:rsid w:val="5F5A1293"/>
    <w:rsid w:val="604C6AEC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400</Characters>
  <Lines>0</Lines>
  <Paragraphs>0</Paragraphs>
  <TotalTime>1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2026-04-09T02:55:28Z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